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Arial" w:cs="Arial" w:eastAsia="Arial" w:hAnsi="Arial"/>
          <w:i/>
          <w:iCs/>
          <w:color w:val="777777"/>
          <w:sz w:val="20"/>
          <w:szCs w:val="20"/>
        </w:rPr>
        <w:t xml:space="preserve">This template, created by Marie Sligh and licensed under Creative Commons CC BY 4.0, gives you a newspaper-style structure for your weekly product update, with the most important information at the top. It uses tables for layout, so if you want to change colors or structure, right-click on the section you want to adjust rather than retyping it.</w:t>
      </w:r>
    </w:p>
    <w:p>
      <w:pPr>
        <w:spacing w:after="160"/>
      </w:pPr>
      <w:r>
        <w:rPr>
          <w:rFonts w:ascii="Arial" w:cs="Arial" w:eastAsia="Arial" w:hAnsi="Arial"/>
          <w:i/>
          <w:iCs/>
          <w:color w:val="777777"/>
          <w:sz w:val="20"/>
          <w:szCs w:val="20"/>
        </w:rPr>
        <w:t xml:space="preserve">Before you send this out, save this file as a new copy each week so you can track continuity over time. Be sure to replace the bracketed placeholders with your own words, delete these instructions, and leave out any section that doesn't apply this week.</w:t>
      </w:r>
    </w:p>
    <w:p>
      <w:pPr>
        <w:spacing w:after="160"/>
      </w:pPr>
    </w:p>
    <w:tbl>
      <w:tblPr>
        <w:tblW w:type="dxa" w:w="9360"/>
        <w:tblBorders>
          <w:top w:val="none"/>
          <w:left w:val="none"/>
          <w:bottom w:val="none"/>
          <w:right w:val="none"/>
          <w:insideH w:val="none"/>
          <w:insideV w:val="none"/>
        </w:tblBorders>
      </w:tblPr>
      <w:tblGrid>
        <w:gridCol w:w="100"/>
      </w:tblGrid>
      <w:tr>
        <w:tc>
          <w:tcPr>
            <w:tcW w:type="dxa" w:w="9360"/>
            <w:shd w:fill="1B3A5C" w:val="clear"/>
            <w:tcMar>
              <w:top w:type="dxa" w:w="300"/>
              <w:left w:type="dxa" w:w="400"/>
              <w:bottom w:type="dxa" w:w="300"/>
              <w:right w:type="dxa" w:w="400"/>
            </w:tcMar>
          </w:tcPr>
          <w:p>
            <w:pPr>
              <w:spacing w:after="60"/>
            </w:pPr>
            <w:r>
              <w:rPr>
                <w:rFonts w:ascii="Arial" w:cs="Arial" w:eastAsia="Arial" w:hAnsi="Arial"/>
                <w:b/>
                <w:bCs/>
                <w:color w:val="FFFFFF"/>
                <w:sz w:val="40"/>
                <w:szCs w:val="40"/>
              </w:rPr>
              <w:t xml:space="preserve">Product Team Weekly Highlights</w:t>
            </w:r>
          </w:p>
          <w:p>
            <w:r>
              <w:rPr>
                <w:rFonts w:ascii="Arial" w:cs="Arial" w:eastAsia="Arial" w:hAnsi="Arial"/>
                <w:color w:val="D6E0EA"/>
                <w:sz w:val="22"/>
                <w:szCs w:val="22"/>
              </w:rPr>
              <w:t xml:space="preserve">[Date or period, e.g. Week of April 7, 2026]</w:t>
            </w:r>
          </w:p>
        </w:tc>
      </w:tr>
    </w:tbl>
    <w:p>
      <w:pPr>
        <w:spacing w:after="200"/>
      </w:pPr>
    </w:p>
    <w:p>
      <w:pPr>
        <w:spacing w:after="120" w:before="100"/>
      </w:pPr>
      <w:r>
        <w:rPr>
          <w:rFonts w:ascii="Arial" w:cs="Arial" w:eastAsia="Arial" w:hAnsi="Arial"/>
          <w:b/>
          <w:bCs/>
          <w:color w:val="1B3A5C"/>
          <w:sz w:val="22"/>
          <w:szCs w:val="22"/>
        </w:rPr>
        <w:t xml:space="preserve">In This Report</w:t>
      </w:r>
    </w:p>
    <w:p>
      <w:pPr>
        <w:spacing w:after="60"/>
      </w:pPr>
      <w:hyperlink w:history="1" w:anchor="highlights">
        <w:r>
          <w:rPr>
            <w:rFonts w:ascii="Arial" w:cs="Arial" w:eastAsia="Arial" w:hAnsi="Arial"/>
            <w:color w:val="2E9B8F"/>
            <w:sz w:val="21"/>
            <w:szCs w:val="21"/>
            <w:u w:val="single"/>
          </w:rPr>
          <w:t xml:space="preserve">1. Highlights</w:t>
        </w:r>
      </w:hyperlink>
    </w:p>
    <w:p>
      <w:pPr>
        <w:spacing w:after="60"/>
      </w:pPr>
      <w:hyperlink w:history="1" w:anchor="bythenumbers">
        <w:r>
          <w:rPr>
            <w:rFonts w:ascii="Arial" w:cs="Arial" w:eastAsia="Arial" w:hAnsi="Arial"/>
            <w:color w:val="2E9B8F"/>
            <w:sz w:val="21"/>
            <w:szCs w:val="21"/>
            <w:u w:val="single"/>
          </w:rPr>
          <w:t xml:space="preserve">2. By the Numbers</w:t>
        </w:r>
      </w:hyperlink>
    </w:p>
    <w:p>
      <w:pPr>
        <w:spacing w:after="60"/>
      </w:pPr>
      <w:hyperlink w:history="1" w:anchor="releases">
        <w:r>
          <w:rPr>
            <w:rFonts w:ascii="Arial" w:cs="Arial" w:eastAsia="Arial" w:hAnsi="Arial"/>
            <w:color w:val="2E9B8F"/>
            <w:sz w:val="21"/>
            <w:szCs w:val="21"/>
            <w:u w:val="single"/>
          </w:rPr>
          <w:t xml:space="preserve">3. Releases and Timeline</w:t>
        </w:r>
      </w:hyperlink>
    </w:p>
    <w:p>
      <w:pPr>
        <w:spacing w:after="60"/>
      </w:pPr>
      <w:hyperlink w:history="1" w:anchor="research">
        <w:r>
          <w:rPr>
            <w:rFonts w:ascii="Arial" w:cs="Arial" w:eastAsia="Arial" w:hAnsi="Arial"/>
            <w:color w:val="2E9B8F"/>
            <w:sz w:val="21"/>
            <w:szCs w:val="21"/>
            <w:u w:val="single"/>
          </w:rPr>
          <w:t xml:space="preserve">4. Research and Learning</w:t>
        </w:r>
      </w:hyperlink>
    </w:p>
    <w:p>
      <w:pPr>
        <w:spacing w:after="60"/>
      </w:pPr>
      <w:hyperlink w:history="1" w:anchor="planning">
        <w:r>
          <w:rPr>
            <w:rFonts w:ascii="Arial" w:cs="Arial" w:eastAsia="Arial" w:hAnsi="Arial"/>
            <w:color w:val="2E9B8F"/>
            <w:sz w:val="21"/>
            <w:szCs w:val="21"/>
            <w:u w:val="single"/>
          </w:rPr>
          <w:t xml:space="preserve">5. Thinking and Planning</w:t>
        </w:r>
      </w:hyperlink>
    </w:p>
    <w:p>
      <w:pPr>
        <w:spacing w:after="60"/>
      </w:pPr>
      <w:hyperlink w:history="1" w:anchor="collaboration">
        <w:r>
          <w:rPr>
            <w:rFonts w:ascii="Arial" w:cs="Arial" w:eastAsia="Arial" w:hAnsi="Arial"/>
            <w:color w:val="2E9B8F"/>
            <w:sz w:val="21"/>
            <w:szCs w:val="21"/>
            <w:u w:val="single"/>
          </w:rPr>
          <w:t xml:space="preserve">6. Collaboration</w:t>
        </w:r>
      </w:hyperlink>
    </w:p>
    <w:p>
      <w:pPr>
        <w:spacing w:after="60"/>
      </w:pPr>
      <w:hyperlink w:history="1" w:anchor="behindthescenes">
        <w:r>
          <w:rPr>
            <w:rFonts w:ascii="Arial" w:cs="Arial" w:eastAsia="Arial" w:hAnsi="Arial"/>
            <w:color w:val="2E9B8F"/>
            <w:sz w:val="21"/>
            <w:szCs w:val="21"/>
            <w:u w:val="single"/>
          </w:rPr>
          <w:t xml:space="preserve">7. Behind the Scenes</w:t>
        </w:r>
      </w:hyperlink>
    </w:p>
    <w:p>
      <w:pPr>
        <w:spacing w:after="200"/>
      </w:pPr>
    </w:p>
    <w:tbl>
      <w:tblPr>
        <w:tblW w:type="dxa" w:w="9360"/>
        <w:tblBorders>
          <w:top w:val="none"/>
          <w:left w:val="none"/>
          <w:bottom w:val="none"/>
          <w:right w:val="none"/>
          <w:insideH w:val="none"/>
          <w:insideV w:val="none"/>
        </w:tblBorders>
      </w:tblPr>
      <w:tblGrid>
        <w:gridCol w:w="5460"/>
        <w:gridCol w:w="3900"/>
      </w:tblGrid>
      <w:tr>
        <w:tc>
          <w:tcPr>
            <w:tcW w:type="dxa" w:w="5460"/>
            <w:tcMar>
              <w:top w:type="dxa" w:w="0"/>
              <w:left w:type="dxa" w:w="0"/>
              <w:bottom w:type="dxa" w:w="0"/>
              <w:right w:type="dxa" w:w="240"/>
            </w:tcMar>
          </w:tcPr>
          <w:p>
            <w:pPr>
              <w:pStyle w:val="Heading1"/>
              <w:pBdr>
                <w:bottom w:val="single" w:color="2E9B8F" w:sz="8" w:space="4"/>
              </w:pBdr>
              <w:spacing w:after="40" w:before="0"/>
            </w:pPr>
            <w:bookmarkStart w:name="highlights" w:id="1"/>
            <w:r>
              <w:rPr>
                <w:rFonts w:ascii="Arial" w:cs="Arial" w:eastAsia="Arial" w:hAnsi="Arial"/>
                <w:b/>
                <w:bCs/>
                <w:color w:val="1B3A5C"/>
                <w:sz w:val="28"/>
                <w:szCs w:val="28"/>
              </w:rPr>
              <w:t xml:space="preserve">1. Highlights</w:t>
            </w:r>
            <w:bookmarkEnd w:id="1"/>
          </w:p>
          <w:p>
            <w:pPr>
              <w:spacing w:after="160"/>
            </w:pPr>
            <w:r>
              <w:rPr>
                <w:rFonts w:ascii="Arial" w:cs="Arial" w:eastAsia="Arial" w:hAnsi="Arial"/>
                <w:i/>
                <w:iCs/>
                <w:color w:val="2E9B8F"/>
                <w:sz w:val="20"/>
                <w:szCs w:val="20"/>
              </w:rPr>
              <w:t xml:space="preserve">Everything that matters this week, readable in 60 seconds</w:t>
            </w:r>
          </w:p>
          <w:p>
            <w:pPr>
              <w:pStyle w:val="ListParagraph"/>
              <w:numPr>
                <w:ilvl w:val="0"/>
                <w:numId w:val="1"/>
              </w:numPr>
              <w:spacing w:after="80"/>
            </w:pPr>
            <w:r>
              <w:rPr>
                <w:rFonts w:ascii="Georgia" w:cs="Georgia" w:eastAsia="Georgia" w:hAnsi="Georgia"/>
                <w:sz w:val="22"/>
                <w:szCs w:val="22"/>
              </w:rPr>
              <w:t xml:space="preserve">[Shipped the new export feature to all users on April 7.]</w:t>
            </w:r>
          </w:p>
          <w:p>
            <w:pPr>
              <w:pStyle w:val="ListParagraph"/>
              <w:numPr>
                <w:ilvl w:val="0"/>
                <w:numId w:val="1"/>
              </w:numPr>
              <w:spacing w:after="80"/>
            </w:pPr>
            <w:r>
              <w:rPr>
                <w:rFonts w:ascii="Georgia" w:cs="Georgia" w:eastAsia="Georgia" w:hAnsi="Georgia"/>
                <w:sz w:val="22"/>
                <w:szCs w:val="22"/>
              </w:rPr>
              <w:t xml:space="preserve">[Mobile redesign timeline moved to May 15.]</w:t>
            </w:r>
          </w:p>
          <w:p>
            <w:pPr>
              <w:pStyle w:val="ListParagraph"/>
              <w:numPr>
                <w:ilvl w:val="0"/>
                <w:numId w:val="1"/>
              </w:numPr>
              <w:spacing w:after="80"/>
            </w:pPr>
            <w:r>
              <w:rPr>
                <w:rFonts w:ascii="Georgia" w:cs="Georgia" w:eastAsia="Georgia" w:hAnsi="Georgia"/>
                <w:sz w:val="22"/>
                <w:szCs w:val="22"/>
              </w:rPr>
              <w:t xml:space="preserve">[Decided to deprioritize the legacy dashboard rebuild.]</w:t>
            </w:r>
          </w:p>
          <w:p>
            <w:pPr>
              <w:pStyle w:val="ListParagraph"/>
              <w:numPr>
                <w:ilvl w:val="0"/>
                <w:numId w:val="1"/>
              </w:numPr>
              <w:spacing w:after="80"/>
            </w:pPr>
            <w:r>
              <w:rPr>
                <w:rFonts w:ascii="Georgia" w:cs="Georgia" w:eastAsia="Georgia" w:hAnsi="Georgia"/>
                <w:sz w:val="22"/>
                <w:szCs w:val="22"/>
              </w:rPr>
              <w:t xml:space="preserve">[Completed 4 discovery interviews on the onboarding flow.]</w:t>
            </w:r>
          </w:p>
        </w:tc>
        <w:tc>
          <w:tcPr>
            <w:tcW w:type="dxa" w:w="3900"/>
            <w:tcBorders>
              <w:top w:val="none"/>
              <w:left w:val="single" w:color="2E9B8F" w:sz="24"/>
              <w:bottom w:val="none"/>
              <w:right w:val="none"/>
            </w:tcBorders>
            <w:shd w:fill="E7F4F2" w:val="clear"/>
            <w:tcMar>
              <w:top w:type="dxa" w:w="240"/>
              <w:left w:type="dxa" w:w="280"/>
              <w:bottom w:type="dxa" w:w="240"/>
              <w:right w:type="dxa" w:w="280"/>
            </w:tcMar>
            <w:vAlign w:val="center"/>
          </w:tcPr>
          <w:p>
            <w:r>
              <w:rPr>
                <w:rFonts w:ascii="Georgia" w:cs="Georgia" w:eastAsia="Georgia" w:hAnsi="Georgia"/>
                <w:i/>
                <w:iCs/>
                <w:color w:val="1B3A5C"/>
                <w:sz w:val="23"/>
                <w:szCs w:val="23"/>
              </w:rPr>
              <w:t xml:space="preserve">“[Insert your best client or user quote from this week here.]”</w:t>
            </w:r>
          </w:p>
          <w:p>
            <w:pPr>
              <w:spacing w:before="100"/>
            </w:pPr>
            <w:r>
              <w:rPr>
                <w:rFonts w:ascii="Arial" w:cs="Arial" w:eastAsia="Arial" w:hAnsi="Arial"/>
                <w:color w:val="777777"/>
                <w:sz w:val="19"/>
                <w:szCs w:val="19"/>
              </w:rPr>
              <w:t xml:space="preserve">— [Client Name, Company]</w:t>
            </w:r>
          </w:p>
        </w:tc>
      </w:tr>
    </w:tbl>
    <w:p>
      <w:pPr>
        <w:pStyle w:val="Heading1"/>
        <w:pBdr>
          <w:bottom w:val="single" w:color="2E9B8F" w:sz="8" w:space="4"/>
        </w:pBdr>
        <w:spacing w:after="40" w:before="420"/>
      </w:pPr>
      <w:bookmarkStart w:name="bythenumbers" w:id="1"/>
      <w:r>
        <w:rPr>
          <w:rFonts w:ascii="Arial" w:cs="Arial" w:eastAsia="Arial" w:hAnsi="Arial"/>
          <w:b/>
          <w:bCs/>
          <w:color w:val="1B3A5C"/>
          <w:sz w:val="28"/>
          <w:szCs w:val="28"/>
        </w:rPr>
        <w:t xml:space="preserve">2. By the Numbers</w:t>
      </w:r>
      <w:bookmarkEnd w:id="1"/>
    </w:p>
    <w:p>
      <w:pPr>
        <w:spacing w:after="160"/>
      </w:pPr>
      <w:r>
        <w:rPr>
          <w:rFonts w:ascii="Arial" w:cs="Arial" w:eastAsia="Arial" w:hAnsi="Arial"/>
          <w:i/>
          <w:iCs/>
          <w:color w:val="2E9B8F"/>
          <w:sz w:val="20"/>
          <w:szCs w:val="20"/>
        </w:rPr>
        <w:t xml:space="preserve">Key metrics 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shd w:fill="EEF2F6" w:val="clear"/>
            <w:tcMar>
              <w:top w:type="dxa" w:w="200"/>
              <w:left w:type="dxa" w:w="200"/>
              <w:bottom w:type="dxa" w:w="200"/>
              <w:right w:type="dxa" w:w="200"/>
            </w:tcMar>
            <w:vAlign w:val="center"/>
          </w:tcPr>
          <w:p>
            <w:pPr>
              <w:spacing w:after="40"/>
              <w:jc w:val="center"/>
            </w:pPr>
            <w:r>
              <w:rPr>
                <w:rFonts w:ascii="Arial" w:cs="Arial" w:eastAsia="Arial" w:hAnsi="Arial"/>
                <w:b/>
                <w:bCs/>
                <w:color w:val="2E9B8F"/>
                <w:sz w:val="32"/>
                <w:szCs w:val="32"/>
              </w:rPr>
              <w:t xml:space="preserve">[4]</w:t>
            </w:r>
          </w:p>
          <w:p>
            <w:pPr>
              <w:jc w:val="center"/>
            </w:pPr>
            <w:r>
              <w:rPr>
                <w:rFonts w:ascii="Arial" w:cs="Arial" w:eastAsia="Arial" w:hAnsi="Arial"/>
                <w:color w:val="1B3A5C"/>
                <w:sz w:val="18"/>
                <w:szCs w:val="18"/>
              </w:rPr>
              <w:t xml:space="preserve">[Features shipped]</w:t>
            </w:r>
          </w:p>
        </w:tc>
        <w:tc>
          <w:tcPr>
            <w:tcW w:type="dxa" w:w="3120"/>
            <w:shd w:fill="EEF2F6" w:val="clear"/>
            <w:tcMar>
              <w:top w:type="dxa" w:w="200"/>
              <w:left w:type="dxa" w:w="200"/>
              <w:bottom w:type="dxa" w:w="200"/>
              <w:right w:type="dxa" w:w="200"/>
            </w:tcMar>
            <w:vAlign w:val="center"/>
          </w:tcPr>
          <w:p>
            <w:pPr>
              <w:spacing w:after="40"/>
              <w:jc w:val="center"/>
            </w:pPr>
            <w:r>
              <w:rPr>
                <w:rFonts w:ascii="Arial" w:cs="Arial" w:eastAsia="Arial" w:hAnsi="Arial"/>
                <w:b/>
                <w:bCs/>
                <w:color w:val="2E9B8F"/>
                <w:sz w:val="32"/>
                <w:szCs w:val="32"/>
              </w:rPr>
              <w:t xml:space="preserve">[7]</w:t>
            </w:r>
          </w:p>
          <w:p>
            <w:pPr>
              <w:jc w:val="center"/>
            </w:pPr>
            <w:r>
              <w:rPr>
                <w:rFonts w:ascii="Arial" w:cs="Arial" w:eastAsia="Arial" w:hAnsi="Arial"/>
                <w:color w:val="1B3A5C"/>
                <w:sz w:val="18"/>
                <w:szCs w:val="18"/>
              </w:rPr>
              <w:t xml:space="preserve">[Discovery calls]</w:t>
            </w:r>
          </w:p>
        </w:tc>
        <w:tc>
          <w:tcPr>
            <w:tcW w:type="dxa" w:w="3120"/>
            <w:shd w:fill="EEF2F6" w:val="clear"/>
            <w:tcMar>
              <w:top w:type="dxa" w:w="200"/>
              <w:left w:type="dxa" w:w="200"/>
              <w:bottom w:type="dxa" w:w="200"/>
              <w:right w:type="dxa" w:w="200"/>
            </w:tcMar>
            <w:vAlign w:val="center"/>
          </w:tcPr>
          <w:p>
            <w:pPr>
              <w:spacing w:after="40"/>
              <w:jc w:val="center"/>
            </w:pPr>
            <w:r>
              <w:rPr>
                <w:rFonts w:ascii="Arial" w:cs="Arial" w:eastAsia="Arial" w:hAnsi="Arial"/>
                <w:b/>
                <w:bCs/>
                <w:color w:val="2E9B8F"/>
                <w:sz w:val="32"/>
                <w:szCs w:val="32"/>
              </w:rPr>
              <w:t xml:space="preserve">[92%]</w:t>
            </w:r>
          </w:p>
          <w:p>
            <w:pPr>
              <w:jc w:val="center"/>
            </w:pPr>
            <w:r>
              <w:rPr>
                <w:rFonts w:ascii="Arial" w:cs="Arial" w:eastAsia="Arial" w:hAnsi="Arial"/>
                <w:color w:val="1B3A5C"/>
                <w:sz w:val="18"/>
                <w:szCs w:val="18"/>
              </w:rPr>
              <w:t xml:space="preserve">[CSAT score]</w:t>
            </w:r>
          </w:p>
        </w:tc>
      </w:tr>
    </w:tbl>
    <w:p>
      <w:pPr>
        <w:spacing w:after="160"/>
      </w:pPr>
    </w:p>
    <w:p>
      <w:pPr>
        <w:pStyle w:val="Heading1"/>
        <w:pBdr>
          <w:bottom w:val="single" w:color="2E9B8F" w:sz="8" w:space="4"/>
        </w:pBdr>
        <w:spacing w:after="40" w:before="420"/>
      </w:pPr>
      <w:bookmarkStart w:name="releases" w:id="1"/>
      <w:r>
        <w:rPr>
          <w:rFonts w:ascii="Arial" w:cs="Arial" w:eastAsia="Arial" w:hAnsi="Arial"/>
          <w:b/>
          <w:bCs/>
          <w:color w:val="1B3A5C"/>
          <w:sz w:val="28"/>
          <w:szCs w:val="28"/>
        </w:rPr>
        <w:t xml:space="preserve">3. Releases and Timeline</w:t>
      </w:r>
      <w:bookmarkEnd w:id="1"/>
    </w:p>
    <w:p>
      <w:pPr>
        <w:spacing w:after="160"/>
      </w:pPr>
      <w:r>
        <w:rPr>
          <w:rFonts w:ascii="Arial" w:cs="Arial" w:eastAsia="Arial" w:hAnsi="Arial"/>
          <w:i/>
          <w:iCs/>
          <w:color w:val="2E9B8F"/>
          <w:sz w:val="20"/>
          <w:szCs w:val="20"/>
        </w:rPr>
        <w:t xml:space="preserve">What shipped, what is coming, and where things stand</w:t>
      </w:r>
    </w:p>
    <w:p>
      <w:pPr>
        <w:pStyle w:val="ListParagraph"/>
        <w:numPr>
          <w:ilvl w:val="0"/>
          <w:numId w:val="1"/>
        </w:numPr>
        <w:spacing w:after="80"/>
      </w:pPr>
      <w:r>
        <w:rPr>
          <w:rFonts w:ascii="Georgia" w:cs="Georgia" w:eastAsia="Georgia" w:hAnsi="Georgia"/>
          <w:sz w:val="22"/>
          <w:szCs w:val="22"/>
        </w:rPr>
        <w:t xml:space="preserve">[The new export feature shipped to all users on April 7. Early usage numbers look strong, with adoption ahead of our first-week target.]</w:t>
      </w:r>
    </w:p>
    <w:p>
      <w:pPr>
        <w:pStyle w:val="ListParagraph"/>
        <w:numPr>
          <w:ilvl w:val="0"/>
          <w:numId w:val="1"/>
        </w:numPr>
        <w:spacing w:after="80"/>
      </w:pPr>
      <w:r>
        <w:rPr>
          <w:rFonts w:ascii="Georgia" w:cs="Georgia" w:eastAsia="Georgia" w:hAnsi="Georgia"/>
          <w:sz w:val="22"/>
          <w:szCs w:val="22"/>
        </w:rPr>
        <w:t xml:space="preserve">[The mobile redesign is now targeted for May 15, pushed back two weeks to address performance testing feedback. The extra time lets us fix load times on older devices before it reaches everyone.]</w:t>
      </w:r>
    </w:p>
    <w:p>
      <w:pPr>
        <w:pStyle w:val="ListParagraph"/>
        <w:numPr>
          <w:ilvl w:val="0"/>
          <w:numId w:val="1"/>
        </w:numPr>
        <w:spacing w:after="80"/>
      </w:pPr>
      <w:r>
        <w:rPr>
          <w:rFonts w:ascii="Georgia" w:cs="Georgia" w:eastAsia="Georgia" w:hAnsi="Georgia"/>
          <w:sz w:val="22"/>
          <w:szCs w:val="22"/>
        </w:rPr>
        <w:t xml:space="preserve">[The permissions rebuild moved into beta with 5 customers this week. We're watching closely for edge cases and expect to decide on a wider rollout by the end of the month.]</w:t>
      </w:r>
    </w:p>
    <w:p>
      <w:pPr>
        <w:spacing w:after="80"/>
      </w:pPr>
    </w:p>
    <w:p>
      <w:pPr>
        <w:spacing w:after="120"/>
      </w:pPr>
      <w:r>
        <w:rPr>
          <w:rFonts w:ascii="Georgia" w:cs="Georgia" w:eastAsia="Georgia" w:hAnsi="Georgia"/>
          <w:sz w:val="22"/>
          <w:szCs w:val="22"/>
        </w:rPr>
        <w:t xml:space="preserve">For the full roadmap: [link]</w:t>
      </w:r>
    </w:p>
    <w:p>
      <w:pPr>
        <w:pStyle w:val="Heading1"/>
        <w:pBdr>
          <w:bottom w:val="single" w:color="2E9B8F" w:sz="8" w:space="4"/>
        </w:pBdr>
        <w:spacing w:after="40" w:before="420"/>
      </w:pPr>
      <w:bookmarkStart w:name="research" w:id="1"/>
      <w:r>
        <w:rPr>
          <w:rFonts w:ascii="Arial" w:cs="Arial" w:eastAsia="Arial" w:hAnsi="Arial"/>
          <w:b/>
          <w:bCs/>
          <w:color w:val="1B3A5C"/>
          <w:sz w:val="28"/>
          <w:szCs w:val="28"/>
        </w:rPr>
        <w:t xml:space="preserve">4. Research and Learning</w:t>
      </w:r>
      <w:bookmarkEnd w:id="1"/>
    </w:p>
    <w:p>
      <w:pPr>
        <w:spacing w:after="160"/>
      </w:pPr>
      <w:r>
        <w:rPr>
          <w:rFonts w:ascii="Arial" w:cs="Arial" w:eastAsia="Arial" w:hAnsi="Arial"/>
          <w:i/>
          <w:iCs/>
          <w:color w:val="2E9B8F"/>
          <w:sz w:val="20"/>
          <w:szCs w:val="20"/>
        </w:rPr>
        <w:t xml:space="preserve">What we heard, tested, and discovered</w:t>
      </w:r>
    </w:p>
    <w:p>
      <w:pPr>
        <w:pStyle w:val="ListParagraph"/>
        <w:numPr>
          <w:ilvl w:val="0"/>
          <w:numId w:val="1"/>
        </w:numPr>
        <w:spacing w:after="80"/>
      </w:pPr>
      <w:r>
        <w:rPr>
          <w:rFonts w:ascii="Georgia" w:cs="Georgia" w:eastAsia="Georgia" w:hAnsi="Georgia"/>
          <w:sz w:val="22"/>
          <w:szCs w:val="22"/>
        </w:rPr>
        <w:t xml:space="preserve">[Talked with 6 customers this week about the new onboarding flow. The clearest theme was that people want a way to skip steps they've already completed. One person put it well: “I just want to get to the part where I'm actually using it.” We're using this feedback to shape the skip-step design going into next sprint.]</w:t>
      </w:r>
    </w:p>
    <w:p>
      <w:pPr>
        <w:pStyle w:val="ListParagraph"/>
        <w:numPr>
          <w:ilvl w:val="0"/>
          <w:numId w:val="1"/>
        </w:numPr>
        <w:spacing w:after="80"/>
      </w:pPr>
      <w:r>
        <w:rPr>
          <w:rFonts w:ascii="Georgia" w:cs="Georgia" w:eastAsia="Georgia" w:hAnsi="Georgia"/>
          <w:sz w:val="22"/>
          <w:szCs w:val="22"/>
        </w:rPr>
        <w:t xml:space="preserve">[Ran a usability test on the redesigned settings page with 3 participants. Two out of three completed the task without help. The one who struggled got stuck on the new toggle layout, which we're revisiting.]</w:t>
      </w:r>
    </w:p>
    <w:p>
      <w:pPr>
        <w:pStyle w:val="ListParagraph"/>
        <w:numPr>
          <w:ilvl w:val="0"/>
          <w:numId w:val="1"/>
        </w:numPr>
        <w:spacing w:after="80"/>
      </w:pPr>
      <w:r>
        <w:rPr>
          <w:rFonts w:ascii="Georgia" w:cs="Georgia" w:eastAsia="Georgia" w:hAnsi="Georgia"/>
          <w:sz w:val="22"/>
          <w:szCs w:val="22"/>
        </w:rPr>
        <w:t xml:space="preserve">[Currently investigating why there is a 12% increase in support tickets related to the billing page. In the meantime, support is prioritizing these tickets and offering manual workarounds until we identify the cause.]</w:t>
      </w:r>
    </w:p>
    <w:p>
      <w:pPr>
        <w:pStyle w:val="Heading1"/>
        <w:pBdr>
          <w:bottom w:val="single" w:color="2E9B8F" w:sz="8" w:space="4"/>
        </w:pBdr>
        <w:spacing w:after="40" w:before="420"/>
      </w:pPr>
      <w:bookmarkStart w:name="planning" w:id="1"/>
      <w:r>
        <w:rPr>
          <w:rFonts w:ascii="Arial" w:cs="Arial" w:eastAsia="Arial" w:hAnsi="Arial"/>
          <w:b/>
          <w:bCs/>
          <w:color w:val="1B3A5C"/>
          <w:sz w:val="28"/>
          <w:szCs w:val="28"/>
        </w:rPr>
        <w:t xml:space="preserve">5. Thinking and Planning</w:t>
      </w:r>
      <w:bookmarkEnd w:id="1"/>
    </w:p>
    <w:p>
      <w:pPr>
        <w:spacing w:after="160"/>
      </w:pPr>
      <w:r>
        <w:rPr>
          <w:rFonts w:ascii="Arial" w:cs="Arial" w:eastAsia="Arial" w:hAnsi="Arial"/>
          <w:i/>
          <w:iCs/>
          <w:color w:val="2E9B8F"/>
          <w:sz w:val="20"/>
          <w:szCs w:val="20"/>
        </w:rPr>
        <w:t xml:space="preserve">The strategic work happening behind the scenes</w:t>
      </w:r>
    </w:p>
    <w:p>
      <w:pPr>
        <w:pStyle w:val="ListParagraph"/>
        <w:numPr>
          <w:ilvl w:val="0"/>
          <w:numId w:val="1"/>
        </w:numPr>
        <w:spacing w:after="80"/>
      </w:pPr>
      <w:r>
        <w:rPr>
          <w:rFonts w:ascii="Georgia" w:cs="Georgia" w:eastAsia="Georgia" w:hAnsi="Georgia"/>
          <w:sz w:val="22"/>
          <w:szCs w:val="22"/>
        </w:rPr>
        <w:t xml:space="preserve">[Roadmap planning for next quarter is in progress. We're mapping out priorities around the mobile redesign and the new permissions system, and expect to share a draft with leadership by next week.]</w:t>
      </w:r>
    </w:p>
    <w:p>
      <w:pPr>
        <w:pStyle w:val="ListParagraph"/>
        <w:numPr>
          <w:ilvl w:val="0"/>
          <w:numId w:val="1"/>
        </w:numPr>
        <w:spacing w:after="80"/>
      </w:pPr>
      <w:r>
        <w:rPr>
          <w:rFonts w:ascii="Georgia" w:cs="Georgia" w:eastAsia="Georgia" w:hAnsi="Georgia"/>
          <w:sz w:val="22"/>
          <w:szCs w:val="22"/>
        </w:rPr>
        <w:t xml:space="preserve">[Decided to deprioritize the legacy dashboard rebuild in favor of the mobile redesign, since customer feedback made it clear the redesign has a bigger impact on retention right now.]</w:t>
      </w:r>
    </w:p>
    <w:p>
      <w:pPr>
        <w:pStyle w:val="ListParagraph"/>
        <w:numPr>
          <w:ilvl w:val="0"/>
          <w:numId w:val="1"/>
        </w:numPr>
        <w:spacing w:after="80"/>
      </w:pPr>
      <w:r>
        <w:rPr>
          <w:rFonts w:ascii="Georgia" w:cs="Georgia" w:eastAsia="Georgia" w:hAnsi="Georgia"/>
          <w:sz w:val="22"/>
          <w:szCs w:val="22"/>
        </w:rPr>
        <w:t xml:space="preserve">[Checked in on OKR progress. The signup conversion goal and the support ticket reduction goal are both on track. The onboarding completion goal is behind, since the redesign work needed to move it is still in progress. We expect to see movement once that ships.]</w:t>
      </w:r>
    </w:p>
    <w:p>
      <w:pPr>
        <w:pStyle w:val="Heading1"/>
        <w:pBdr>
          <w:bottom w:val="single" w:color="2E9B8F" w:sz="8" w:space="4"/>
        </w:pBdr>
        <w:spacing w:after="40" w:before="420"/>
      </w:pPr>
      <w:bookmarkStart w:name="collaboration" w:id="1"/>
      <w:r>
        <w:rPr>
          <w:rFonts w:ascii="Arial" w:cs="Arial" w:eastAsia="Arial" w:hAnsi="Arial"/>
          <w:b/>
          <w:bCs/>
          <w:color w:val="1B3A5C"/>
          <w:sz w:val="28"/>
          <w:szCs w:val="28"/>
        </w:rPr>
        <w:t xml:space="preserve">6. Collaboration</w:t>
      </w:r>
      <w:bookmarkEnd w:id="1"/>
    </w:p>
    <w:p>
      <w:pPr>
        <w:spacing w:after="160"/>
      </w:pPr>
      <w:r>
        <w:rPr>
          <w:rFonts w:ascii="Arial" w:cs="Arial" w:eastAsia="Arial" w:hAnsi="Arial"/>
          <w:i/>
          <w:iCs/>
          <w:color w:val="2E9B8F"/>
          <w:sz w:val="20"/>
          <w:szCs w:val="20"/>
        </w:rPr>
        <w:t xml:space="preserve">How product is working across the organization</w:t>
      </w:r>
    </w:p>
    <w:p>
      <w:pPr>
        <w:pStyle w:val="ListParagraph"/>
        <w:numPr>
          <w:ilvl w:val="0"/>
          <w:numId w:val="1"/>
        </w:numPr>
        <w:spacing w:after="80"/>
      </w:pPr>
      <w:r>
        <w:rPr>
          <w:rFonts w:ascii="Georgia" w:cs="Georgia" w:eastAsia="Georgia" w:hAnsi="Georgia"/>
          <w:sz w:val="22"/>
          <w:szCs w:val="22"/>
        </w:rPr>
        <w:t xml:space="preserve">[Partnered with design on a review of the new onboarding flow and worked their feedback into this week's release, which should reduce the drop-off we've been seeing at step two.]</w:t>
      </w:r>
    </w:p>
    <w:p>
      <w:pPr>
        <w:pStyle w:val="ListParagraph"/>
        <w:numPr>
          <w:ilvl w:val="0"/>
          <w:numId w:val="1"/>
        </w:numPr>
        <w:spacing w:after="80"/>
      </w:pPr>
      <w:r>
        <w:rPr>
          <w:rFonts w:ascii="Georgia" w:cs="Georgia" w:eastAsia="Georgia" w:hAnsi="Georgia"/>
          <w:sz w:val="22"/>
          <w:szCs w:val="22"/>
        </w:rPr>
        <w:t xml:space="preserve">[Sat in on engineering's sprint planning to make sure the upcoming stories reflected our latest priorities, particularly around the permissions rebuild.]</w:t>
      </w:r>
    </w:p>
    <w:p>
      <w:pPr>
        <w:pStyle w:val="ListParagraph"/>
        <w:numPr>
          <w:ilvl w:val="0"/>
          <w:numId w:val="1"/>
        </w:numPr>
        <w:spacing w:after="80"/>
      </w:pPr>
      <w:r>
        <w:rPr>
          <w:rFonts w:ascii="Georgia" w:cs="Georgia" w:eastAsia="Georgia" w:hAnsi="Georgia"/>
          <w:sz w:val="22"/>
          <w:szCs w:val="22"/>
        </w:rPr>
        <w:t xml:space="preserve">[Presented the Q2 roadmap to the sales team to align on upcoming client-facing changes ahead of renewal conversations.]</w:t>
      </w:r>
    </w:p>
    <w:p>
      <w:pPr>
        <w:pStyle w:val="Heading1"/>
        <w:pBdr>
          <w:bottom w:val="single" w:color="2E9B8F" w:sz="8" w:space="4"/>
        </w:pBdr>
        <w:spacing w:after="40" w:before="420"/>
      </w:pPr>
      <w:bookmarkStart w:name="behindthescenes" w:id="1"/>
      <w:r>
        <w:rPr>
          <w:rFonts w:ascii="Arial" w:cs="Arial" w:eastAsia="Arial" w:hAnsi="Arial"/>
          <w:b/>
          <w:bCs/>
          <w:color w:val="1B3A5C"/>
          <w:sz w:val="28"/>
          <w:szCs w:val="28"/>
        </w:rPr>
        <w:t xml:space="preserve">7. Behind the Scenes</w:t>
      </w:r>
      <w:bookmarkEnd w:id="1"/>
    </w:p>
    <w:p>
      <w:pPr>
        <w:spacing w:after="160"/>
      </w:pPr>
      <w:r>
        <w:rPr>
          <w:rFonts w:ascii="Arial" w:cs="Arial" w:eastAsia="Arial" w:hAnsi="Arial"/>
          <w:i/>
          <w:iCs/>
          <w:color w:val="2E9B8F"/>
          <w:sz w:val="20"/>
          <w:szCs w:val="20"/>
        </w:rPr>
        <w:t xml:space="preserve">Team health, operations, and what keeps everything moving</w:t>
      </w:r>
    </w:p>
    <w:p>
      <w:pPr>
        <w:pStyle w:val="ListParagraph"/>
        <w:numPr>
          <w:ilvl w:val="0"/>
          <w:numId w:val="1"/>
        </w:numPr>
        <w:spacing w:after="80"/>
      </w:pPr>
      <w:r>
        <w:rPr>
          <w:rFonts w:ascii="Georgia" w:cs="Georgia" w:eastAsia="Georgia" w:hAnsi="Georgia"/>
          <w:sz w:val="22"/>
          <w:szCs w:val="22"/>
        </w:rPr>
        <w:t xml:space="preserve">[Onboarded two new engineers to the team this week, both focused on the mobile redesign.]</w:t>
      </w:r>
    </w:p>
    <w:p>
      <w:pPr>
        <w:pStyle w:val="ListParagraph"/>
        <w:numPr>
          <w:ilvl w:val="0"/>
          <w:numId w:val="1"/>
        </w:numPr>
        <w:spacing w:after="80"/>
      </w:pPr>
      <w:r>
        <w:rPr>
          <w:rFonts w:ascii="Georgia" w:cs="Georgia" w:eastAsia="Georgia" w:hAnsi="Georgia"/>
          <w:sz w:val="22"/>
          <w:szCs w:val="22"/>
        </w:rPr>
        <w:t xml:space="preserve">[Documented the new release process so it's easier to follow going forward, especially for anyone new joining the rotation.]</w:t>
      </w:r>
    </w:p>
    <w:p>
      <w:pPr>
        <w:pStyle w:val="ListParagraph"/>
        <w:numPr>
          <w:ilvl w:val="0"/>
          <w:numId w:val="1"/>
        </w:numPr>
        <w:spacing w:after="80"/>
      </w:pPr>
      <w:r>
        <w:rPr>
          <w:rFonts w:ascii="Georgia" w:cs="Georgia" w:eastAsia="Georgia" w:hAnsi="Georgia"/>
          <w:sz w:val="22"/>
          <w:szCs w:val="22"/>
        </w:rPr>
        <w:t xml:space="preserve">[Kicked off a mentorship program for junior PMs on the team, pairing each with a senior PM for monthly check-ins.]</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2026-07-29T19:28:49.755Z</dcterms:created>
  <dcterms:modified xsi:type="dcterms:W3CDTF">2026-07-29T19:28:49.771Z</dcterms:modified>
</cp:coreProperties>
</file>

<file path=docProps/custom.xml><?xml version="1.0" encoding="utf-8"?>
<Properties xmlns="http://schemas.openxmlformats.org/officeDocument/2006/custom-properties" xmlns:vt="http://schemas.openxmlformats.org/officeDocument/2006/docPropsVTypes"/>
</file>